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Times New Roman"/>
          <w:b/>
          <w:sz w:val="30"/>
          <w:szCs w:val="30"/>
        </w:rPr>
      </w:pPr>
      <w:bookmarkStart w:id="0" w:name="_GoBack"/>
      <w:bookmarkEnd w:id="0"/>
      <w:r>
        <w:rPr>
          <w:rFonts w:eastAsia="宋体" w:cs="Times New Roman"/>
          <w:b/>
          <w:sz w:val="30"/>
          <w:szCs w:val="30"/>
        </w:rPr>
        <w:t>KD-CHO细胞培养液使用说明</w:t>
      </w:r>
      <w:r>
        <w:rPr>
          <w:rFonts w:hint="eastAsia" w:eastAsia="宋体" w:cs="Times New Roman"/>
          <w:b/>
          <w:sz w:val="30"/>
          <w:szCs w:val="30"/>
        </w:rPr>
        <w:t>（2.4版）</w:t>
      </w:r>
    </w:p>
    <w:p>
      <w:pPr>
        <w:pStyle w:val="2"/>
        <w:numPr>
          <w:ilvl w:val="0"/>
          <w:numId w:val="1"/>
        </w:numPr>
        <w:rPr>
          <w:rFonts w:eastAsia="宋体"/>
        </w:rPr>
      </w:pPr>
      <w:r>
        <w:rPr>
          <w:rFonts w:eastAsia="宋体"/>
        </w:rPr>
        <w:t>产品说明</w:t>
      </w:r>
    </w:p>
    <w:p>
      <w:pPr>
        <w:ind w:firstLine="480"/>
        <w:rPr>
          <w:rFonts w:eastAsia="宋体"/>
        </w:rPr>
      </w:pPr>
      <w:r>
        <w:rPr>
          <w:rFonts w:eastAsia="宋体"/>
        </w:rPr>
        <w:t>本产品为化学界定、无血清及无动物成分的高密度细胞培养液，适用于</w:t>
      </w:r>
      <w:r>
        <w:rPr>
          <w:rFonts w:hint="eastAsia" w:eastAsia="宋体"/>
        </w:rPr>
        <w:t>CHO-K1</w:t>
      </w:r>
      <w:r>
        <w:rPr>
          <w:rFonts w:eastAsia="宋体"/>
        </w:rPr>
        <w:t>细胞及其它</w:t>
      </w:r>
      <w:r>
        <w:rPr>
          <w:rFonts w:hint="eastAsia" w:eastAsia="宋体"/>
        </w:rPr>
        <w:t>CHO</w:t>
      </w:r>
      <w:r>
        <w:rPr>
          <w:rFonts w:eastAsia="宋体"/>
        </w:rPr>
        <w:t>细胞的高密度悬浮培养及重组蛋白质表达。</w:t>
      </w:r>
    </w:p>
    <w:p>
      <w:pPr>
        <w:ind w:firstLine="0"/>
        <w:rPr>
          <w:rFonts w:eastAsia="宋体"/>
          <w:b/>
          <w:bCs/>
        </w:rPr>
      </w:pPr>
      <w:r>
        <w:rPr>
          <w:rFonts w:hint="eastAsia" w:eastAsia="宋体"/>
          <w:b/>
          <w:bCs/>
        </w:rPr>
        <w:t>细胞培养基使用保存注意事项：</w:t>
      </w:r>
    </w:p>
    <w:p>
      <w:pPr>
        <w:numPr>
          <w:ilvl w:val="0"/>
          <w:numId w:val="2"/>
        </w:numPr>
        <w:ind w:hanging="425"/>
        <w:rPr>
          <w:rFonts w:eastAsia="宋体"/>
          <w:b/>
          <w:bCs/>
        </w:rPr>
      </w:pPr>
      <w:r>
        <w:rPr>
          <w:rFonts w:hint="eastAsia" w:eastAsia="宋体"/>
          <w:b/>
          <w:bCs/>
        </w:rPr>
        <w:t>切勿紫外照射；</w:t>
      </w:r>
    </w:p>
    <w:p>
      <w:pPr>
        <w:numPr>
          <w:ilvl w:val="0"/>
          <w:numId w:val="2"/>
        </w:numPr>
        <w:ind w:hanging="425"/>
        <w:rPr>
          <w:rFonts w:eastAsia="宋体"/>
          <w:b/>
          <w:bCs/>
        </w:rPr>
      </w:pPr>
      <w:r>
        <w:rPr>
          <w:rFonts w:hint="eastAsia" w:eastAsia="宋体"/>
          <w:b/>
          <w:bCs/>
        </w:rPr>
        <w:t>无需预热处理，可直接从冰箱取出使用；</w:t>
      </w:r>
    </w:p>
    <w:p>
      <w:pPr>
        <w:numPr>
          <w:ilvl w:val="0"/>
          <w:numId w:val="2"/>
        </w:numPr>
        <w:ind w:hanging="425"/>
        <w:rPr>
          <w:rFonts w:eastAsia="宋体"/>
          <w:b/>
          <w:bCs/>
        </w:rPr>
      </w:pPr>
      <w:r>
        <w:rPr>
          <w:rFonts w:hint="eastAsia" w:eastAsia="宋体"/>
          <w:b/>
          <w:bCs/>
        </w:rPr>
        <w:t>储存细胞培养基时尽量使用医用冰箱，以确保恒温效果，切勿冷冻；</w:t>
      </w:r>
    </w:p>
    <w:p>
      <w:pPr>
        <w:numPr>
          <w:ilvl w:val="0"/>
          <w:numId w:val="2"/>
        </w:numPr>
        <w:ind w:hanging="425"/>
        <w:rPr>
          <w:rFonts w:eastAsia="宋体"/>
          <w:b/>
          <w:bCs/>
        </w:rPr>
      </w:pPr>
      <w:r>
        <w:rPr>
          <w:rFonts w:hint="eastAsia" w:eastAsia="宋体"/>
          <w:b/>
          <w:bCs/>
        </w:rPr>
        <w:t>定期检查细胞培养基过期日期，并在过期前使用完或更换新的培养基，避免使用过期培养基导致细胞生长异常或失败。</w:t>
      </w:r>
    </w:p>
    <w:p>
      <w:pPr>
        <w:pStyle w:val="2"/>
        <w:numPr>
          <w:ilvl w:val="0"/>
          <w:numId w:val="1"/>
        </w:numPr>
        <w:rPr>
          <w:rFonts w:eastAsia="宋体"/>
        </w:rPr>
      </w:pPr>
      <w:r>
        <w:rPr>
          <w:rFonts w:eastAsia="宋体"/>
        </w:rPr>
        <w:t>培养液使用前的准备</w:t>
      </w:r>
    </w:p>
    <w:p>
      <w:pPr>
        <w:pStyle w:val="11"/>
        <w:numPr>
          <w:ilvl w:val="0"/>
          <w:numId w:val="3"/>
        </w:numPr>
        <w:ind w:left="0" w:firstLine="0" w:firstLineChars="0"/>
        <w:rPr>
          <w:rFonts w:eastAsia="宋体"/>
        </w:rPr>
      </w:pPr>
      <w:r>
        <w:rPr>
          <w:rFonts w:hint="eastAsia" w:eastAsia="宋体"/>
        </w:rPr>
        <w:t>本培养液适合CHO细胞高密度无血清悬浮培养，使用时无需添加任何添加物，开封即可使用；</w:t>
      </w:r>
    </w:p>
    <w:p>
      <w:pPr>
        <w:pStyle w:val="11"/>
        <w:numPr>
          <w:ilvl w:val="0"/>
          <w:numId w:val="3"/>
        </w:numPr>
        <w:ind w:left="0" w:firstLine="0" w:firstLineChars="0"/>
        <w:rPr>
          <w:rFonts w:eastAsia="宋体"/>
        </w:rPr>
      </w:pPr>
      <w:r>
        <w:rPr>
          <w:rFonts w:eastAsia="宋体"/>
        </w:rPr>
        <w:t>常规的换液或传代时，从4℃冰箱取出的培养液可立刻使用，</w:t>
      </w:r>
      <w:r>
        <w:rPr>
          <w:rFonts w:eastAsia="宋体"/>
          <w:b/>
        </w:rPr>
        <w:t>无需预热至室温或37℃</w:t>
      </w:r>
      <w:r>
        <w:rPr>
          <w:rFonts w:eastAsia="宋体"/>
        </w:rPr>
        <w:t>。</w:t>
      </w:r>
    </w:p>
    <w:p>
      <w:pPr>
        <w:pStyle w:val="2"/>
        <w:numPr>
          <w:ilvl w:val="0"/>
          <w:numId w:val="1"/>
        </w:numPr>
        <w:rPr>
          <w:rFonts w:eastAsia="宋体"/>
        </w:rPr>
      </w:pPr>
      <w:r>
        <w:rPr>
          <w:rFonts w:eastAsia="宋体"/>
        </w:rPr>
        <w:t>培养条件设置</w:t>
      </w:r>
    </w:p>
    <w:p>
      <w:pPr>
        <w:pStyle w:val="11"/>
        <w:numPr>
          <w:ilvl w:val="0"/>
          <w:numId w:val="4"/>
        </w:numPr>
        <w:ind w:left="0" w:firstLine="0" w:firstLineChars="0"/>
        <w:rPr>
          <w:rFonts w:eastAsia="宋体"/>
        </w:rPr>
      </w:pPr>
      <w:r>
        <w:rPr>
          <w:rFonts w:eastAsia="宋体"/>
        </w:rPr>
        <w:t>使用二氧化碳恒温摇床悬浮震荡培养细胞时，摇床温度应调至36-37</w:t>
      </w:r>
      <w:r>
        <w:rPr>
          <w:rFonts w:hint="eastAsia" w:eastAsia="宋体" w:cs="微软雅黑"/>
        </w:rPr>
        <w:t>℃</w:t>
      </w:r>
      <w:r>
        <w:rPr>
          <w:rFonts w:eastAsia="宋体"/>
        </w:rPr>
        <w:t>，CO</w:t>
      </w:r>
      <w:r>
        <w:rPr>
          <w:rFonts w:eastAsia="宋体"/>
          <w:vertAlign w:val="subscript"/>
        </w:rPr>
        <w:t>2</w:t>
      </w:r>
      <w:r>
        <w:rPr>
          <w:rFonts w:eastAsia="宋体"/>
        </w:rPr>
        <w:t>的使用浓度为5%，转速为100-130rpm，湿度控制在75%以上；</w:t>
      </w:r>
    </w:p>
    <w:p>
      <w:pPr>
        <w:pStyle w:val="11"/>
        <w:numPr>
          <w:ilvl w:val="0"/>
          <w:numId w:val="4"/>
        </w:numPr>
        <w:ind w:left="0" w:firstLine="0" w:firstLineChars="0"/>
        <w:rPr>
          <w:rFonts w:eastAsia="宋体"/>
        </w:rPr>
      </w:pPr>
      <w:r>
        <w:rPr>
          <w:rFonts w:eastAsia="宋体"/>
        </w:rPr>
        <w:t>摇瓶使用的封口盖（膜）应具备可透气的功能。</w:t>
      </w:r>
    </w:p>
    <w:p>
      <w:pPr>
        <w:pStyle w:val="2"/>
        <w:numPr>
          <w:ilvl w:val="0"/>
          <w:numId w:val="1"/>
        </w:numPr>
        <w:rPr>
          <w:rFonts w:eastAsia="宋体"/>
        </w:rPr>
      </w:pPr>
      <w:r>
        <w:rPr>
          <w:rFonts w:eastAsia="宋体"/>
        </w:rPr>
        <w:t>细胞的换液与传代</w:t>
      </w:r>
    </w:p>
    <w:p>
      <w:pPr>
        <w:pStyle w:val="11"/>
        <w:numPr>
          <w:ilvl w:val="0"/>
          <w:numId w:val="5"/>
        </w:numPr>
        <w:ind w:left="0" w:firstLine="0" w:firstLineChars="0"/>
        <w:rPr>
          <w:rFonts w:eastAsia="宋体"/>
        </w:rPr>
      </w:pPr>
      <w:r>
        <w:rPr>
          <w:rFonts w:eastAsia="宋体"/>
        </w:rPr>
        <w:t>新收到的储存在培养液中的细胞应马上转移至合适的摇瓶中（培养液体积应控制在摇瓶容积规格的五分之一以内），盖上封口膜，置于上述条件下的摇床中培养。待细胞密度恢复至</w:t>
      </w:r>
      <w:r>
        <w:rPr>
          <w:rFonts w:hint="eastAsia" w:eastAsia="宋体"/>
        </w:rPr>
        <w:t>3</w:t>
      </w:r>
      <w:r>
        <w:rPr>
          <w:rFonts w:eastAsia="宋体"/>
        </w:rPr>
        <w:t>-</w:t>
      </w:r>
      <w:r>
        <w:rPr>
          <w:rFonts w:hint="eastAsia" w:eastAsia="宋体"/>
        </w:rPr>
        <w:t>5</w:t>
      </w:r>
      <w:r>
        <w:rPr>
          <w:rFonts w:eastAsia="宋体"/>
        </w:rPr>
        <w:t>×10</w:t>
      </w:r>
      <w:r>
        <w:rPr>
          <w:rFonts w:eastAsia="宋体"/>
          <w:vertAlign w:val="superscript"/>
        </w:rPr>
        <w:t>6</w:t>
      </w:r>
      <w:r>
        <w:rPr>
          <w:rFonts w:hint="eastAsia" w:eastAsia="宋体"/>
        </w:rPr>
        <w:t>cells</w:t>
      </w:r>
      <w:r>
        <w:rPr>
          <w:rFonts w:eastAsia="宋体"/>
        </w:rPr>
        <w:t>/</w:t>
      </w:r>
      <w:r>
        <w:rPr>
          <w:rFonts w:hint="eastAsia" w:eastAsia="宋体"/>
        </w:rPr>
        <w:t>ml</w:t>
      </w:r>
      <w:r>
        <w:rPr>
          <w:rFonts w:eastAsia="宋体"/>
        </w:rPr>
        <w:t>时，可进行传代或冻存；</w:t>
      </w:r>
    </w:p>
    <w:p>
      <w:pPr>
        <w:pStyle w:val="11"/>
        <w:numPr>
          <w:ilvl w:val="0"/>
          <w:numId w:val="5"/>
        </w:numPr>
        <w:ind w:left="0" w:firstLine="0" w:firstLineChars="0"/>
        <w:rPr>
          <w:rFonts w:eastAsia="宋体"/>
        </w:rPr>
      </w:pPr>
      <w:r>
        <w:rPr>
          <w:rFonts w:eastAsia="宋体"/>
        </w:rPr>
        <w:t>从液氮罐中取出的细胞或用干冰运输的细胞请依照下述方法</w:t>
      </w:r>
      <w:r>
        <w:rPr>
          <w:rFonts w:eastAsia="宋体"/>
          <w:b/>
        </w:rPr>
        <w:t>（</w:t>
      </w:r>
      <w:r>
        <w:rPr>
          <w:rFonts w:hint="eastAsia" w:eastAsia="宋体"/>
          <w:b/>
        </w:rPr>
        <w:t>5</w:t>
      </w:r>
      <w:r>
        <w:rPr>
          <w:rFonts w:eastAsia="宋体"/>
          <w:b/>
        </w:rPr>
        <w:t>. 细胞的冻存与复苏）</w:t>
      </w:r>
      <w:r>
        <w:rPr>
          <w:rFonts w:eastAsia="宋体"/>
        </w:rPr>
        <w:t>复苏和培养；</w:t>
      </w:r>
    </w:p>
    <w:p>
      <w:pPr>
        <w:pStyle w:val="11"/>
        <w:numPr>
          <w:ilvl w:val="0"/>
          <w:numId w:val="5"/>
        </w:numPr>
        <w:ind w:left="0" w:firstLine="0" w:firstLineChars="0"/>
        <w:rPr>
          <w:rFonts w:eastAsia="宋体"/>
        </w:rPr>
      </w:pPr>
      <w:r>
        <w:rPr>
          <w:rFonts w:eastAsia="宋体"/>
        </w:rPr>
        <w:t>传代时，需先做细胞计数，密度确认后无需对细胞悬液进行离心，可直接将细胞悬液依照所需比例兑入培养液中。传代后的细胞密度应控制在0.</w:t>
      </w:r>
      <w:r>
        <w:rPr>
          <w:rFonts w:hint="eastAsia" w:eastAsia="宋体"/>
        </w:rPr>
        <w:t>2</w:t>
      </w:r>
      <w:r>
        <w:rPr>
          <w:rFonts w:eastAsia="宋体"/>
        </w:rPr>
        <w:t>-</w:t>
      </w:r>
      <w:r>
        <w:rPr>
          <w:rFonts w:hint="eastAsia" w:eastAsia="宋体"/>
        </w:rPr>
        <w:t>0.6</w:t>
      </w:r>
      <w:r>
        <w:rPr>
          <w:rFonts w:eastAsia="宋体"/>
        </w:rPr>
        <w:t>×10</w:t>
      </w:r>
      <w:r>
        <w:rPr>
          <w:rFonts w:eastAsia="宋体"/>
          <w:vertAlign w:val="superscript"/>
        </w:rPr>
        <w:t xml:space="preserve">6 </w:t>
      </w:r>
      <w:r>
        <w:rPr>
          <w:rFonts w:hint="eastAsia" w:eastAsia="宋体"/>
        </w:rPr>
        <w:t>cells</w:t>
      </w:r>
      <w:r>
        <w:rPr>
          <w:rFonts w:eastAsia="宋体"/>
        </w:rPr>
        <w:t>/</w:t>
      </w:r>
      <w:r>
        <w:rPr>
          <w:rFonts w:hint="eastAsia" w:eastAsia="宋体"/>
        </w:rPr>
        <w:t>ml</w:t>
      </w:r>
      <w:r>
        <w:rPr>
          <w:rFonts w:eastAsia="宋体"/>
        </w:rPr>
        <w:t>，建议每周（7天）传代2次。</w:t>
      </w:r>
      <w:r>
        <w:rPr>
          <w:rFonts w:hint="eastAsia" w:eastAsia="宋体"/>
        </w:rPr>
        <w:t>在不添加任何蛋白胨等营养试剂的情况下，</w:t>
      </w:r>
      <w:r>
        <w:rPr>
          <w:rFonts w:eastAsia="宋体"/>
        </w:rPr>
        <w:t>本培养液可支撑的最高细胞密度为</w:t>
      </w:r>
      <w:r>
        <w:rPr>
          <w:rFonts w:hint="eastAsia" w:eastAsia="宋体"/>
        </w:rPr>
        <w:t>10</w:t>
      </w:r>
      <w:r>
        <w:rPr>
          <w:rFonts w:eastAsia="宋体"/>
        </w:rPr>
        <w:t>×10</w:t>
      </w:r>
      <w:r>
        <w:rPr>
          <w:rFonts w:hint="eastAsia" w:eastAsia="宋体"/>
          <w:vertAlign w:val="superscript"/>
        </w:rPr>
        <w:t>6</w:t>
      </w:r>
      <w:r>
        <w:rPr>
          <w:rFonts w:eastAsia="宋体"/>
          <w:vertAlign w:val="superscript"/>
        </w:rPr>
        <w:t xml:space="preserve"> </w:t>
      </w:r>
      <w:r>
        <w:rPr>
          <w:rFonts w:hint="eastAsia" w:eastAsia="宋体"/>
        </w:rPr>
        <w:t>cells</w:t>
      </w:r>
      <w:r>
        <w:rPr>
          <w:rFonts w:eastAsia="宋体"/>
        </w:rPr>
        <w:t>/</w:t>
      </w:r>
      <w:r>
        <w:rPr>
          <w:rFonts w:hint="eastAsia" w:eastAsia="宋体"/>
        </w:rPr>
        <w:t>ml</w:t>
      </w:r>
      <w:r>
        <w:rPr>
          <w:rFonts w:eastAsia="宋体"/>
        </w:rPr>
        <w:t>，细胞在达到此密度时存活率</w:t>
      </w:r>
      <w:r>
        <w:rPr>
          <w:rFonts w:hint="eastAsia" w:eastAsia="宋体"/>
        </w:rPr>
        <w:t>一般仍</w:t>
      </w:r>
      <w:r>
        <w:rPr>
          <w:rFonts w:eastAsia="宋体"/>
        </w:rPr>
        <w:t>可保持在95%以上；</w:t>
      </w:r>
    </w:p>
    <w:p>
      <w:pPr>
        <w:pStyle w:val="2"/>
        <w:numPr>
          <w:ilvl w:val="0"/>
          <w:numId w:val="1"/>
        </w:numPr>
        <w:rPr>
          <w:rFonts w:eastAsia="宋体"/>
        </w:rPr>
      </w:pPr>
      <w:r>
        <w:rPr>
          <w:rFonts w:eastAsia="宋体"/>
        </w:rPr>
        <w:t>细胞的冻存与复苏</w:t>
      </w:r>
    </w:p>
    <w:p>
      <w:pPr>
        <w:pStyle w:val="3"/>
        <w:rPr>
          <w:rFonts w:ascii="Times New Roman" w:hAnsi="Times New Roman" w:eastAsia="宋体"/>
        </w:rPr>
      </w:pPr>
      <w:r>
        <w:rPr>
          <w:rFonts w:hint="eastAsia" w:ascii="Times New Roman" w:hAnsi="Times New Roman" w:eastAsia="宋体"/>
        </w:rPr>
        <w:t>5</w:t>
      </w:r>
      <w:r>
        <w:rPr>
          <w:rFonts w:ascii="Times New Roman" w:hAnsi="Times New Roman" w:eastAsia="宋体"/>
        </w:rPr>
        <w:t>.1冻存</w:t>
      </w:r>
    </w:p>
    <w:p>
      <w:pPr>
        <w:pStyle w:val="11"/>
        <w:numPr>
          <w:ilvl w:val="0"/>
          <w:numId w:val="6"/>
        </w:numPr>
        <w:ind w:left="0" w:firstLine="0" w:firstLineChars="0"/>
        <w:rPr>
          <w:rFonts w:eastAsia="宋体"/>
        </w:rPr>
      </w:pPr>
      <w:r>
        <w:rPr>
          <w:rFonts w:eastAsia="宋体"/>
        </w:rPr>
        <w:t>用培养液制备</w:t>
      </w:r>
      <w:r>
        <w:rPr>
          <w:rFonts w:hint="eastAsia" w:eastAsia="宋体"/>
        </w:rPr>
        <w:t>10</w:t>
      </w:r>
      <w:r>
        <w:rPr>
          <w:rFonts w:eastAsia="宋体"/>
        </w:rPr>
        <w:t>% 二甲基亚砜（DMSO）细胞冻存液；</w:t>
      </w:r>
    </w:p>
    <w:p>
      <w:pPr>
        <w:pStyle w:val="11"/>
        <w:numPr>
          <w:ilvl w:val="0"/>
          <w:numId w:val="6"/>
        </w:numPr>
        <w:ind w:left="0" w:firstLine="0" w:firstLineChars="0"/>
        <w:rPr>
          <w:rFonts w:eastAsia="宋体"/>
        </w:rPr>
      </w:pPr>
      <w:r>
        <w:rPr>
          <w:rFonts w:eastAsia="宋体"/>
        </w:rPr>
        <w:t>将细胞培养至对数生长期（密度约为</w:t>
      </w:r>
      <w:r>
        <w:rPr>
          <w:rFonts w:hint="eastAsia" w:eastAsia="宋体"/>
        </w:rPr>
        <w:t>6</w:t>
      </w:r>
      <w:r>
        <w:rPr>
          <w:rFonts w:eastAsia="宋体"/>
        </w:rPr>
        <w:t>×10</w:t>
      </w:r>
      <w:r>
        <w:rPr>
          <w:rFonts w:hint="eastAsia" w:eastAsia="宋体"/>
          <w:vertAlign w:val="superscript"/>
        </w:rPr>
        <w:t>6</w:t>
      </w:r>
      <w:r>
        <w:rPr>
          <w:rFonts w:eastAsia="宋体"/>
          <w:vertAlign w:val="superscript"/>
        </w:rPr>
        <w:t xml:space="preserve"> </w:t>
      </w:r>
      <w:r>
        <w:rPr>
          <w:rFonts w:hint="eastAsia" w:eastAsia="宋体"/>
        </w:rPr>
        <w:t>cells</w:t>
      </w:r>
      <w:r>
        <w:rPr>
          <w:rFonts w:eastAsia="宋体"/>
        </w:rPr>
        <w:t>/</w:t>
      </w:r>
      <w:r>
        <w:rPr>
          <w:rFonts w:hint="eastAsia" w:eastAsia="宋体"/>
        </w:rPr>
        <w:t>ml</w:t>
      </w:r>
      <w:r>
        <w:rPr>
          <w:rFonts w:eastAsia="宋体"/>
        </w:rPr>
        <w:t>），计数并离心收集细胞；</w:t>
      </w:r>
    </w:p>
    <w:p>
      <w:pPr>
        <w:pStyle w:val="11"/>
        <w:numPr>
          <w:ilvl w:val="0"/>
          <w:numId w:val="6"/>
        </w:numPr>
        <w:ind w:left="0" w:firstLine="0" w:firstLineChars="0"/>
        <w:rPr>
          <w:rFonts w:eastAsia="宋体"/>
        </w:rPr>
      </w:pPr>
      <w:r>
        <w:rPr>
          <w:rFonts w:eastAsia="宋体"/>
        </w:rPr>
        <w:t>用细胞冻存液将离心的细胞以5-20×10</w:t>
      </w:r>
      <w:r>
        <w:rPr>
          <w:rFonts w:eastAsia="宋体"/>
          <w:vertAlign w:val="superscript"/>
        </w:rPr>
        <w:t xml:space="preserve">6 </w:t>
      </w:r>
      <w:r>
        <w:rPr>
          <w:rFonts w:hint="eastAsia" w:eastAsia="宋体"/>
        </w:rPr>
        <w:t>cells</w:t>
      </w:r>
      <w:r>
        <w:rPr>
          <w:rFonts w:eastAsia="宋体"/>
        </w:rPr>
        <w:t>/</w:t>
      </w:r>
      <w:r>
        <w:rPr>
          <w:rFonts w:hint="eastAsia" w:eastAsia="宋体"/>
        </w:rPr>
        <w:t>ml</w:t>
      </w:r>
      <w:r>
        <w:rPr>
          <w:rFonts w:eastAsia="宋体"/>
        </w:rPr>
        <w:t>的浓度重悬；</w:t>
      </w:r>
    </w:p>
    <w:p>
      <w:pPr>
        <w:pStyle w:val="11"/>
        <w:numPr>
          <w:ilvl w:val="0"/>
          <w:numId w:val="6"/>
        </w:numPr>
        <w:ind w:left="0" w:firstLine="0" w:firstLineChars="0"/>
        <w:rPr>
          <w:rFonts w:eastAsia="宋体"/>
        </w:rPr>
      </w:pPr>
      <w:r>
        <w:rPr>
          <w:rFonts w:eastAsia="宋体"/>
        </w:rPr>
        <w:t>将细胞悬液分装到标记好的冻存管内，确保拧紧管盖使其完全密封；</w:t>
      </w:r>
    </w:p>
    <w:p>
      <w:pPr>
        <w:pStyle w:val="11"/>
        <w:numPr>
          <w:ilvl w:val="0"/>
          <w:numId w:val="6"/>
        </w:numPr>
        <w:ind w:left="0" w:firstLine="0" w:firstLineChars="0"/>
        <w:rPr>
          <w:rFonts w:eastAsia="宋体"/>
        </w:rPr>
      </w:pPr>
      <w:r>
        <w:rPr>
          <w:rFonts w:eastAsia="宋体"/>
        </w:rPr>
        <w:t>将冻存管放置于-80</w:t>
      </w:r>
      <w:r>
        <w:rPr>
          <w:rFonts w:hint="eastAsia" w:eastAsia="宋体" w:cs="微软雅黑"/>
        </w:rPr>
        <w:t>℃</w:t>
      </w:r>
      <w:r>
        <w:rPr>
          <w:rFonts w:eastAsia="宋体"/>
        </w:rPr>
        <w:t>冰箱中缓慢降温；</w:t>
      </w:r>
    </w:p>
    <w:p>
      <w:pPr>
        <w:pStyle w:val="11"/>
        <w:numPr>
          <w:ilvl w:val="0"/>
          <w:numId w:val="6"/>
        </w:numPr>
        <w:ind w:left="0" w:firstLine="0" w:firstLineChars="0"/>
        <w:rPr>
          <w:rFonts w:eastAsia="宋体"/>
        </w:rPr>
      </w:pPr>
      <w:r>
        <w:rPr>
          <w:rFonts w:eastAsia="宋体"/>
        </w:rPr>
        <w:t>次日将冻存管转移至液氮内长期保存。此过程需尽可能快速完成（建议在2分钟内），如果在此过程中冻存管温度升至-50</w:t>
      </w:r>
      <w:r>
        <w:rPr>
          <w:rFonts w:hint="eastAsia" w:eastAsia="宋体" w:cs="微软雅黑"/>
        </w:rPr>
        <w:t>℃</w:t>
      </w:r>
      <w:r>
        <w:rPr>
          <w:rFonts w:eastAsia="宋体"/>
        </w:rPr>
        <w:t>以上，细胞则可能会迅速受损。</w:t>
      </w:r>
    </w:p>
    <w:p>
      <w:pPr>
        <w:pStyle w:val="3"/>
        <w:rPr>
          <w:rFonts w:ascii="Times New Roman" w:hAnsi="Times New Roman" w:eastAsia="宋体"/>
        </w:rPr>
      </w:pPr>
      <w:r>
        <w:rPr>
          <w:rFonts w:hint="eastAsia" w:ascii="Times New Roman" w:hAnsi="Times New Roman" w:eastAsia="宋体"/>
        </w:rPr>
        <w:t>5</w:t>
      </w:r>
      <w:r>
        <w:rPr>
          <w:rFonts w:ascii="Times New Roman" w:hAnsi="Times New Roman" w:eastAsia="宋体"/>
        </w:rPr>
        <w:t>.2复苏</w:t>
      </w:r>
    </w:p>
    <w:p>
      <w:pPr>
        <w:pStyle w:val="11"/>
        <w:numPr>
          <w:ilvl w:val="0"/>
          <w:numId w:val="7"/>
        </w:numPr>
        <w:ind w:left="0" w:firstLine="0" w:firstLineChars="0"/>
        <w:rPr>
          <w:rFonts w:eastAsia="宋体" w:cs="Times New Roman"/>
          <w:szCs w:val="24"/>
        </w:rPr>
      </w:pPr>
      <w:r>
        <w:rPr>
          <w:rFonts w:eastAsia="宋体" w:cs="Times New Roman"/>
          <w:szCs w:val="24"/>
        </w:rPr>
        <w:t>从液氮罐</w:t>
      </w:r>
      <w:r>
        <w:rPr>
          <w:rFonts w:hint="eastAsia" w:eastAsia="宋体" w:cs="Times New Roman"/>
          <w:szCs w:val="24"/>
        </w:rPr>
        <w:t>、</w:t>
      </w:r>
      <w:r>
        <w:rPr>
          <w:rFonts w:eastAsia="宋体" w:cs="Times New Roman"/>
          <w:szCs w:val="24"/>
        </w:rPr>
        <w:t>干冰或超低温冰箱中取出冻存管，立刻放置于37℃的温水中，直至管内冰晶完全融化；</w:t>
      </w:r>
    </w:p>
    <w:p>
      <w:pPr>
        <w:pStyle w:val="11"/>
        <w:numPr>
          <w:ilvl w:val="0"/>
          <w:numId w:val="7"/>
        </w:numPr>
        <w:ind w:left="0" w:firstLine="0" w:firstLineChars="0"/>
        <w:rPr>
          <w:rFonts w:eastAsia="宋体" w:cs="Times New Roman"/>
          <w:szCs w:val="24"/>
        </w:rPr>
      </w:pPr>
      <w:r>
        <w:rPr>
          <w:rFonts w:eastAsia="宋体" w:cs="Times New Roman"/>
          <w:szCs w:val="24"/>
        </w:rPr>
        <w:t>解冻后用75%乙醇彻底擦拭冻存管，用移液枪将细胞悬液全部转移至一个50ml的离心管中，缓慢加入细胞培养液，至其终体积为20ml；</w:t>
      </w:r>
    </w:p>
    <w:p>
      <w:pPr>
        <w:pStyle w:val="11"/>
        <w:numPr>
          <w:ilvl w:val="0"/>
          <w:numId w:val="7"/>
        </w:numPr>
        <w:ind w:left="0" w:firstLine="0" w:firstLineChars="0"/>
        <w:rPr>
          <w:rFonts w:eastAsia="宋体" w:cs="Times New Roman"/>
          <w:szCs w:val="24"/>
        </w:rPr>
      </w:pPr>
      <w:r>
        <w:rPr>
          <w:rFonts w:eastAsia="宋体" w:cs="Times New Roman"/>
          <w:szCs w:val="24"/>
        </w:rPr>
        <w:t>1000rpm离心5</w:t>
      </w:r>
      <w:r>
        <w:rPr>
          <w:rFonts w:hint="eastAsia" w:eastAsia="宋体" w:cs="Times New Roman"/>
          <w:szCs w:val="24"/>
        </w:rPr>
        <w:t>min</w:t>
      </w:r>
      <w:r>
        <w:rPr>
          <w:rFonts w:eastAsia="宋体" w:cs="Times New Roman"/>
          <w:szCs w:val="24"/>
        </w:rPr>
        <w:t>，弃去含有冻存保护剂的上清液；</w:t>
      </w:r>
    </w:p>
    <w:p>
      <w:pPr>
        <w:pStyle w:val="11"/>
        <w:numPr>
          <w:ilvl w:val="0"/>
          <w:numId w:val="7"/>
        </w:numPr>
        <w:ind w:left="0" w:firstLine="0" w:firstLineChars="0"/>
        <w:rPr>
          <w:rFonts w:eastAsia="宋体" w:cs="Times New Roman"/>
          <w:szCs w:val="24"/>
        </w:rPr>
      </w:pPr>
      <w:r>
        <w:rPr>
          <w:rFonts w:eastAsia="宋体" w:cs="Times New Roman"/>
          <w:szCs w:val="24"/>
        </w:rPr>
        <w:t>用新鲜的KD-CHO培养液重悬细胞，使其密度为</w:t>
      </w:r>
      <w:r>
        <w:rPr>
          <w:rFonts w:hint="eastAsia" w:eastAsia="宋体" w:cs="Times New Roman"/>
          <w:szCs w:val="24"/>
        </w:rPr>
        <w:t>0.2</w:t>
      </w:r>
      <w:r>
        <w:rPr>
          <w:rFonts w:eastAsia="宋体" w:cs="Times New Roman"/>
          <w:szCs w:val="24"/>
        </w:rPr>
        <w:t>-</w:t>
      </w:r>
      <w:r>
        <w:rPr>
          <w:rFonts w:hint="eastAsia" w:eastAsia="宋体" w:cs="Times New Roman"/>
          <w:szCs w:val="24"/>
        </w:rPr>
        <w:t>0.6</w:t>
      </w:r>
      <w:r>
        <w:rPr>
          <w:rFonts w:eastAsia="宋体" w:cs="Times New Roman"/>
          <w:szCs w:val="24"/>
        </w:rPr>
        <w:t>×10</w:t>
      </w:r>
      <w:r>
        <w:rPr>
          <w:rFonts w:eastAsia="宋体" w:cs="Times New Roman"/>
          <w:szCs w:val="24"/>
          <w:vertAlign w:val="superscript"/>
        </w:rPr>
        <w:t xml:space="preserve">6 </w:t>
      </w:r>
      <w:r>
        <w:rPr>
          <w:rFonts w:hint="eastAsia" w:eastAsia="宋体"/>
        </w:rPr>
        <w:t>cells</w:t>
      </w:r>
      <w:r>
        <w:rPr>
          <w:rFonts w:eastAsia="宋体"/>
        </w:rPr>
        <w:t>/</w:t>
      </w:r>
      <w:r>
        <w:rPr>
          <w:rFonts w:hint="eastAsia" w:eastAsia="宋体"/>
        </w:rPr>
        <w:t>ml</w:t>
      </w:r>
      <w:r>
        <w:rPr>
          <w:rFonts w:eastAsia="宋体" w:cs="Times New Roman"/>
          <w:szCs w:val="24"/>
        </w:rPr>
        <w:t>，</w:t>
      </w:r>
      <w:r>
        <w:rPr>
          <w:rFonts w:hint="eastAsia" w:eastAsia="宋体" w:cs="Times New Roman"/>
          <w:szCs w:val="24"/>
        </w:rPr>
        <w:t>接种于规格为120ml的摇瓶中震荡培养（摇床参数：120rpm、37℃、5%CO</w:t>
      </w:r>
      <w:r>
        <w:rPr>
          <w:rFonts w:hint="eastAsia" w:eastAsia="宋体" w:cs="Times New Roman"/>
          <w:szCs w:val="24"/>
          <w:vertAlign w:val="subscript"/>
        </w:rPr>
        <w:t>2</w:t>
      </w:r>
      <w:r>
        <w:rPr>
          <w:rFonts w:hint="eastAsia" w:eastAsia="宋体" w:cs="Times New Roman"/>
          <w:szCs w:val="24"/>
        </w:rPr>
        <w:t>）；</w:t>
      </w:r>
    </w:p>
    <w:p>
      <w:pPr>
        <w:pStyle w:val="11"/>
        <w:numPr>
          <w:ilvl w:val="0"/>
          <w:numId w:val="7"/>
        </w:numPr>
        <w:ind w:left="0" w:firstLine="0" w:firstLineChars="0"/>
        <w:rPr>
          <w:rFonts w:eastAsia="宋体" w:cs="Times New Roman"/>
          <w:szCs w:val="24"/>
        </w:rPr>
      </w:pPr>
      <w:r>
        <w:rPr>
          <w:rFonts w:hint="eastAsia" w:eastAsia="宋体" w:cs="Times New Roman"/>
          <w:szCs w:val="24"/>
        </w:rPr>
        <w:t>培养3</w:t>
      </w:r>
      <w:r>
        <w:rPr>
          <w:rFonts w:eastAsia="宋体" w:cs="Times New Roman"/>
          <w:szCs w:val="24"/>
        </w:rPr>
        <w:t>-</w:t>
      </w:r>
      <w:r>
        <w:rPr>
          <w:rFonts w:hint="eastAsia" w:eastAsia="宋体" w:cs="Times New Roman"/>
          <w:szCs w:val="24"/>
        </w:rPr>
        <w:t>5天后对细胞进行计数，观察细胞密度和存活率是否上升。若细胞密度达到3</w:t>
      </w:r>
      <w:r>
        <w:rPr>
          <w:rFonts w:eastAsia="宋体" w:cs="Times New Roman"/>
          <w:szCs w:val="24"/>
        </w:rPr>
        <w:t>-</w:t>
      </w:r>
      <w:r>
        <w:rPr>
          <w:rFonts w:hint="eastAsia" w:eastAsia="宋体" w:cs="Times New Roman"/>
          <w:szCs w:val="24"/>
        </w:rPr>
        <w:t>6×10</w:t>
      </w:r>
      <w:r>
        <w:rPr>
          <w:rFonts w:hint="eastAsia" w:eastAsia="宋体" w:cs="Times New Roman"/>
          <w:szCs w:val="24"/>
          <w:vertAlign w:val="superscript"/>
        </w:rPr>
        <w:t>6</w:t>
      </w:r>
      <w:r>
        <w:rPr>
          <w:rFonts w:eastAsia="宋体" w:cs="Times New Roman"/>
          <w:szCs w:val="24"/>
          <w:vertAlign w:val="superscript"/>
        </w:rPr>
        <w:t xml:space="preserve"> </w:t>
      </w:r>
      <w:r>
        <w:rPr>
          <w:rFonts w:hint="eastAsia" w:eastAsia="宋体"/>
        </w:rPr>
        <w:t>cells</w:t>
      </w:r>
      <w:r>
        <w:rPr>
          <w:rFonts w:eastAsia="宋体"/>
        </w:rPr>
        <w:t>/</w:t>
      </w:r>
      <w:r>
        <w:rPr>
          <w:rFonts w:hint="eastAsia" w:eastAsia="宋体"/>
        </w:rPr>
        <w:t>ml</w:t>
      </w:r>
      <w:r>
        <w:rPr>
          <w:rFonts w:hint="eastAsia" w:eastAsia="宋体" w:cs="Times New Roman"/>
          <w:szCs w:val="24"/>
        </w:rPr>
        <w:t>，可对细胞进行传代处理，一般细胞传代1</w:t>
      </w:r>
      <w:r>
        <w:rPr>
          <w:rFonts w:eastAsia="宋体" w:cs="Times New Roman"/>
          <w:szCs w:val="24"/>
        </w:rPr>
        <w:t>-</w:t>
      </w:r>
      <w:r>
        <w:rPr>
          <w:rFonts w:hint="eastAsia" w:eastAsia="宋体" w:cs="Times New Roman"/>
          <w:szCs w:val="24"/>
        </w:rPr>
        <w:t>2次后即可恢复正常的生长状态。</w:t>
      </w:r>
    </w:p>
    <w:p>
      <w:pPr>
        <w:rPr>
          <w:rFonts w:eastAsia="宋体" w:cs="Times New Roman"/>
          <w:b/>
          <w:szCs w:val="24"/>
        </w:rPr>
      </w:pPr>
    </w:p>
    <w:p>
      <w:pPr>
        <w:rPr>
          <w:rFonts w:eastAsia="宋体" w:cs="Times New Roman"/>
          <w:b/>
          <w:szCs w:val="24"/>
        </w:rPr>
      </w:pPr>
    </w:p>
    <w:p>
      <w:pPr>
        <w:pStyle w:val="2"/>
        <w:numPr>
          <w:ilvl w:val="0"/>
          <w:numId w:val="1"/>
        </w:numPr>
        <w:rPr>
          <w:rFonts w:eastAsia="宋体"/>
        </w:rPr>
      </w:pPr>
      <w:r>
        <w:rPr>
          <w:rFonts w:eastAsia="宋体"/>
        </w:rPr>
        <w:t>常见问题及应对方法</w:t>
      </w:r>
    </w:p>
    <w:p>
      <w:pPr>
        <w:pStyle w:val="3"/>
        <w:rPr>
          <w:rFonts w:ascii="Times New Roman" w:hAnsi="Times New Roman" w:eastAsia="宋体"/>
        </w:rPr>
      </w:pPr>
      <w:r>
        <w:rPr>
          <w:rFonts w:hint="eastAsia" w:ascii="Times New Roman" w:hAnsi="Times New Roman" w:eastAsia="宋体"/>
        </w:rPr>
        <w:t>6</w:t>
      </w:r>
      <w:r>
        <w:rPr>
          <w:rFonts w:ascii="Times New Roman" w:hAnsi="Times New Roman" w:eastAsia="宋体"/>
        </w:rPr>
        <w:t>.1细胞密度或存活率较低</w:t>
      </w:r>
    </w:p>
    <w:p>
      <w:pPr>
        <w:rPr>
          <w:rFonts w:eastAsia="宋体"/>
        </w:rPr>
      </w:pPr>
      <w:r>
        <w:rPr>
          <w:rFonts w:eastAsia="宋体"/>
        </w:rPr>
        <w:t xml:space="preserve">    首先检查是否存在以下表中的问题，若存在，请采取相应措施，若不存在，则请从下述</w:t>
      </w:r>
      <w:r>
        <w:rPr>
          <w:rFonts w:hint="eastAsia" w:eastAsia="宋体"/>
        </w:rPr>
        <w:t>（1）</w:t>
      </w:r>
      <w:r>
        <w:rPr>
          <w:rFonts w:eastAsia="宋体"/>
        </w:rPr>
        <w:t>部分开始逐一排查。</w:t>
      </w:r>
    </w:p>
    <w:tbl>
      <w:tblPr>
        <w:tblStyle w:val="9"/>
        <w:tblW w:w="0" w:type="auto"/>
        <w:jc w:val="center"/>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2" w:space="0"/>
          <w:insideV w:val="single" w:color="585858" w:themeColor="text1" w:themeTint="A6" w:sz="2" w:space="0"/>
        </w:tblBorders>
        <w:tblLayout w:type="autofit"/>
        <w:tblCellMar>
          <w:top w:w="0" w:type="dxa"/>
          <w:left w:w="108" w:type="dxa"/>
          <w:bottom w:w="0" w:type="dxa"/>
          <w:right w:w="108" w:type="dxa"/>
        </w:tblCellMar>
      </w:tblPr>
      <w:tblGrid>
        <w:gridCol w:w="3319"/>
        <w:gridCol w:w="1464"/>
        <w:gridCol w:w="5179"/>
      </w:tblGrid>
      <w:tr>
        <w:trPr>
          <w:trHeight w:val="417" w:hRule="atLeast"/>
          <w:jc w:val="center"/>
        </w:trPr>
        <w:tc>
          <w:tcPr>
            <w:tcW w:w="3319" w:type="dxa"/>
            <w:vAlign w:val="center"/>
          </w:tcPr>
          <w:p>
            <w:pPr>
              <w:ind w:left="108"/>
              <w:jc w:val="center"/>
              <w:rPr>
                <w:rFonts w:eastAsia="宋体" w:cs="Times New Roman"/>
                <w:b/>
                <w:sz w:val="21"/>
                <w:szCs w:val="21"/>
              </w:rPr>
            </w:pPr>
            <w:r>
              <w:rPr>
                <w:rFonts w:eastAsia="宋体" w:cs="Times New Roman"/>
                <w:b/>
                <w:sz w:val="21"/>
                <w:szCs w:val="21"/>
              </w:rPr>
              <w:t>问题</w:t>
            </w:r>
          </w:p>
        </w:tc>
        <w:tc>
          <w:tcPr>
            <w:tcW w:w="1464" w:type="dxa"/>
            <w:vAlign w:val="center"/>
          </w:tcPr>
          <w:p>
            <w:pPr>
              <w:ind w:left="108"/>
              <w:jc w:val="center"/>
              <w:rPr>
                <w:rFonts w:eastAsia="宋体" w:cs="Times New Roman"/>
                <w:b/>
                <w:sz w:val="21"/>
                <w:szCs w:val="21"/>
              </w:rPr>
            </w:pPr>
            <w:r>
              <w:rPr>
                <w:rFonts w:eastAsia="宋体" w:cs="Times New Roman"/>
                <w:b/>
                <w:sz w:val="21"/>
                <w:szCs w:val="21"/>
              </w:rPr>
              <w:t>是</w:t>
            </w:r>
          </w:p>
        </w:tc>
        <w:tc>
          <w:tcPr>
            <w:tcW w:w="5179" w:type="dxa"/>
            <w:vAlign w:val="center"/>
          </w:tcPr>
          <w:p>
            <w:pPr>
              <w:ind w:left="108"/>
              <w:jc w:val="center"/>
              <w:rPr>
                <w:rFonts w:eastAsia="宋体" w:cs="Times New Roman"/>
                <w:b/>
                <w:sz w:val="21"/>
                <w:szCs w:val="21"/>
              </w:rPr>
            </w:pPr>
            <w:r>
              <w:rPr>
                <w:rFonts w:eastAsia="宋体" w:cs="Times New Roman"/>
                <w:b/>
                <w:sz w:val="21"/>
                <w:szCs w:val="21"/>
              </w:rPr>
              <w:t>否</w:t>
            </w:r>
          </w:p>
        </w:tc>
      </w:tr>
      <w:tr>
        <w:trPr>
          <w:trHeight w:val="552" w:hRule="atLeast"/>
          <w:jc w:val="center"/>
        </w:trPr>
        <w:tc>
          <w:tcPr>
            <w:tcW w:w="3319" w:type="dxa"/>
            <w:vAlign w:val="center"/>
          </w:tcPr>
          <w:p>
            <w:pPr>
              <w:jc w:val="center"/>
              <w:rPr>
                <w:rFonts w:eastAsia="宋体" w:cs="Times New Roman"/>
                <w:sz w:val="21"/>
                <w:szCs w:val="21"/>
              </w:rPr>
            </w:pPr>
            <w:r>
              <w:rPr>
                <w:rFonts w:eastAsia="宋体" w:cs="Times New Roman"/>
                <w:sz w:val="21"/>
                <w:szCs w:val="21"/>
              </w:rPr>
              <w:t>摇床温度是否为36~37</w:t>
            </w:r>
            <w:r>
              <w:rPr>
                <w:rFonts w:hint="eastAsia" w:eastAsia="宋体" w:cs="Times New Roman"/>
                <w:sz w:val="21"/>
                <w:szCs w:val="21"/>
              </w:rPr>
              <w:t>℃</w:t>
            </w:r>
          </w:p>
        </w:tc>
        <w:tc>
          <w:tcPr>
            <w:tcW w:w="1464" w:type="dxa"/>
            <w:vAlign w:val="center"/>
          </w:tcPr>
          <w:p>
            <w:pPr>
              <w:jc w:val="center"/>
              <w:rPr>
                <w:rFonts w:eastAsia="宋体" w:cs="Times New Roman"/>
                <w:sz w:val="21"/>
                <w:szCs w:val="21"/>
              </w:rPr>
            </w:pPr>
          </w:p>
        </w:tc>
        <w:tc>
          <w:tcPr>
            <w:tcW w:w="5179" w:type="dxa"/>
            <w:vAlign w:val="center"/>
          </w:tcPr>
          <w:p>
            <w:pPr>
              <w:jc w:val="center"/>
              <w:rPr>
                <w:rFonts w:eastAsia="宋体" w:cs="Times New Roman"/>
                <w:sz w:val="21"/>
                <w:szCs w:val="21"/>
              </w:rPr>
            </w:pPr>
            <w:r>
              <w:rPr>
                <w:rFonts w:eastAsia="宋体" w:cs="Times New Roman"/>
                <w:sz w:val="21"/>
                <w:szCs w:val="21"/>
              </w:rPr>
              <w:t>用温度计检测温度是否正常，必要时校正摇床温度</w:t>
            </w:r>
          </w:p>
        </w:tc>
      </w:tr>
      <w:tr>
        <w:trPr>
          <w:trHeight w:val="404" w:hRule="atLeast"/>
          <w:jc w:val="center"/>
        </w:trPr>
        <w:tc>
          <w:tcPr>
            <w:tcW w:w="3319" w:type="dxa"/>
            <w:vAlign w:val="center"/>
          </w:tcPr>
          <w:p>
            <w:pPr>
              <w:jc w:val="center"/>
              <w:rPr>
                <w:rFonts w:eastAsia="宋体" w:cs="Times New Roman"/>
                <w:sz w:val="21"/>
                <w:szCs w:val="21"/>
              </w:rPr>
            </w:pPr>
            <w:r>
              <w:rPr>
                <w:rFonts w:eastAsia="宋体" w:cs="Times New Roman"/>
                <w:sz w:val="21"/>
                <w:szCs w:val="21"/>
              </w:rPr>
              <w:t>摇床转速是否</w:t>
            </w:r>
            <w:r>
              <w:rPr>
                <w:rFonts w:hint="eastAsia" w:eastAsia="宋体" w:cs="Times New Roman"/>
                <w:sz w:val="21"/>
                <w:szCs w:val="21"/>
              </w:rPr>
              <w:t>合适</w:t>
            </w:r>
          </w:p>
        </w:tc>
        <w:tc>
          <w:tcPr>
            <w:tcW w:w="1464" w:type="dxa"/>
            <w:vAlign w:val="center"/>
          </w:tcPr>
          <w:p>
            <w:pPr>
              <w:jc w:val="center"/>
              <w:rPr>
                <w:rFonts w:eastAsia="宋体" w:cs="Times New Roman"/>
                <w:sz w:val="21"/>
                <w:szCs w:val="21"/>
              </w:rPr>
            </w:pPr>
          </w:p>
        </w:tc>
        <w:tc>
          <w:tcPr>
            <w:tcW w:w="5179" w:type="dxa"/>
            <w:vAlign w:val="center"/>
          </w:tcPr>
          <w:p>
            <w:pPr>
              <w:jc w:val="center"/>
              <w:rPr>
                <w:rFonts w:eastAsia="宋体" w:cs="Times New Roman"/>
                <w:sz w:val="21"/>
                <w:szCs w:val="21"/>
              </w:rPr>
            </w:pPr>
            <w:r>
              <w:rPr>
                <w:rFonts w:eastAsia="宋体" w:cs="Times New Roman"/>
                <w:sz w:val="21"/>
                <w:szCs w:val="21"/>
              </w:rPr>
              <w:t>调节摇床至合适转速</w:t>
            </w:r>
          </w:p>
        </w:tc>
      </w:tr>
      <w:tr>
        <w:trPr>
          <w:trHeight w:val="410" w:hRule="atLeast"/>
          <w:jc w:val="center"/>
        </w:trPr>
        <w:tc>
          <w:tcPr>
            <w:tcW w:w="3319" w:type="dxa"/>
            <w:vAlign w:val="center"/>
          </w:tcPr>
          <w:p>
            <w:pPr>
              <w:jc w:val="center"/>
              <w:rPr>
                <w:rFonts w:eastAsia="宋体" w:cs="Times New Roman"/>
                <w:sz w:val="21"/>
                <w:szCs w:val="21"/>
              </w:rPr>
            </w:pPr>
            <w:r>
              <w:rPr>
                <w:rFonts w:eastAsia="宋体" w:cs="Times New Roman"/>
                <w:sz w:val="21"/>
                <w:szCs w:val="21"/>
              </w:rPr>
              <w:t>湿度是否大于75%</w:t>
            </w:r>
          </w:p>
        </w:tc>
        <w:tc>
          <w:tcPr>
            <w:tcW w:w="1464" w:type="dxa"/>
            <w:vAlign w:val="center"/>
          </w:tcPr>
          <w:p>
            <w:pPr>
              <w:jc w:val="center"/>
              <w:rPr>
                <w:rFonts w:eastAsia="宋体" w:cs="Times New Roman"/>
                <w:sz w:val="21"/>
                <w:szCs w:val="21"/>
              </w:rPr>
            </w:pPr>
          </w:p>
        </w:tc>
        <w:tc>
          <w:tcPr>
            <w:tcW w:w="5179" w:type="dxa"/>
            <w:vAlign w:val="center"/>
          </w:tcPr>
          <w:p>
            <w:pPr>
              <w:jc w:val="center"/>
              <w:rPr>
                <w:rFonts w:eastAsia="宋体" w:cs="Times New Roman"/>
                <w:sz w:val="21"/>
                <w:szCs w:val="21"/>
              </w:rPr>
            </w:pPr>
            <w:r>
              <w:rPr>
                <w:rFonts w:eastAsia="宋体" w:cs="Times New Roman"/>
                <w:sz w:val="21"/>
                <w:szCs w:val="21"/>
              </w:rPr>
              <w:t>往摇床水槽中加入适量纯水</w:t>
            </w:r>
          </w:p>
        </w:tc>
      </w:tr>
      <w:tr>
        <w:trPr>
          <w:trHeight w:val="415" w:hRule="atLeast"/>
          <w:jc w:val="center"/>
        </w:trPr>
        <w:tc>
          <w:tcPr>
            <w:tcW w:w="3319" w:type="dxa"/>
            <w:vAlign w:val="center"/>
          </w:tcPr>
          <w:p>
            <w:pPr>
              <w:jc w:val="center"/>
              <w:rPr>
                <w:rFonts w:eastAsia="宋体" w:cs="Times New Roman"/>
                <w:sz w:val="21"/>
                <w:szCs w:val="21"/>
              </w:rPr>
            </w:pPr>
            <w:r>
              <w:rPr>
                <w:rFonts w:eastAsia="宋体" w:cs="Times New Roman"/>
                <w:sz w:val="21"/>
                <w:szCs w:val="21"/>
              </w:rPr>
              <w:t>CO</w:t>
            </w:r>
            <w:r>
              <w:rPr>
                <w:rFonts w:eastAsia="宋体" w:cs="Times New Roman"/>
                <w:sz w:val="21"/>
                <w:szCs w:val="21"/>
                <w:vertAlign w:val="subscript"/>
              </w:rPr>
              <w:t>2</w:t>
            </w:r>
            <w:r>
              <w:rPr>
                <w:rFonts w:eastAsia="宋体" w:cs="Times New Roman"/>
                <w:sz w:val="21"/>
                <w:szCs w:val="21"/>
              </w:rPr>
              <w:t>浓度是否为5%</w:t>
            </w:r>
          </w:p>
        </w:tc>
        <w:tc>
          <w:tcPr>
            <w:tcW w:w="1464" w:type="dxa"/>
            <w:vAlign w:val="center"/>
          </w:tcPr>
          <w:p>
            <w:pPr>
              <w:jc w:val="center"/>
              <w:rPr>
                <w:rFonts w:eastAsia="宋体" w:cs="Times New Roman"/>
                <w:sz w:val="21"/>
                <w:szCs w:val="21"/>
              </w:rPr>
            </w:pPr>
          </w:p>
        </w:tc>
        <w:tc>
          <w:tcPr>
            <w:tcW w:w="5179" w:type="dxa"/>
            <w:vAlign w:val="center"/>
          </w:tcPr>
          <w:p>
            <w:pPr>
              <w:jc w:val="center"/>
              <w:rPr>
                <w:rFonts w:eastAsia="宋体" w:cs="Times New Roman"/>
                <w:sz w:val="21"/>
                <w:szCs w:val="21"/>
              </w:rPr>
            </w:pPr>
            <w:r>
              <w:rPr>
                <w:rFonts w:eastAsia="宋体" w:cs="Times New Roman"/>
                <w:sz w:val="21"/>
                <w:szCs w:val="21"/>
              </w:rPr>
              <w:t>调节摇床CO2的浓度至5%</w:t>
            </w:r>
          </w:p>
        </w:tc>
      </w:tr>
      <w:tr>
        <w:trPr>
          <w:trHeight w:val="408" w:hRule="atLeast"/>
          <w:jc w:val="center"/>
        </w:trPr>
        <w:tc>
          <w:tcPr>
            <w:tcW w:w="3319" w:type="dxa"/>
            <w:vAlign w:val="center"/>
          </w:tcPr>
          <w:p>
            <w:pPr>
              <w:jc w:val="center"/>
              <w:rPr>
                <w:rFonts w:eastAsia="宋体" w:cs="Times New Roman"/>
                <w:sz w:val="21"/>
                <w:szCs w:val="21"/>
              </w:rPr>
            </w:pPr>
            <w:r>
              <w:rPr>
                <w:rFonts w:eastAsia="宋体" w:cs="Times New Roman"/>
                <w:sz w:val="21"/>
                <w:szCs w:val="21"/>
              </w:rPr>
              <w:t>摇瓶是否干净无异物</w:t>
            </w:r>
          </w:p>
        </w:tc>
        <w:tc>
          <w:tcPr>
            <w:tcW w:w="1464" w:type="dxa"/>
            <w:vAlign w:val="center"/>
          </w:tcPr>
          <w:p>
            <w:pPr>
              <w:jc w:val="center"/>
              <w:rPr>
                <w:rFonts w:eastAsia="宋体" w:cs="Times New Roman"/>
                <w:sz w:val="21"/>
                <w:szCs w:val="21"/>
              </w:rPr>
            </w:pPr>
          </w:p>
        </w:tc>
        <w:tc>
          <w:tcPr>
            <w:tcW w:w="5179" w:type="dxa"/>
            <w:vAlign w:val="center"/>
          </w:tcPr>
          <w:p>
            <w:pPr>
              <w:jc w:val="center"/>
              <w:rPr>
                <w:rFonts w:eastAsia="宋体" w:cs="Times New Roman"/>
                <w:sz w:val="21"/>
                <w:szCs w:val="21"/>
              </w:rPr>
            </w:pPr>
            <w:r>
              <w:rPr>
                <w:rFonts w:eastAsia="宋体" w:cs="Times New Roman"/>
                <w:sz w:val="21"/>
                <w:szCs w:val="21"/>
              </w:rPr>
              <w:t>重新清洗摇瓶或更换新摇瓶</w:t>
            </w:r>
          </w:p>
        </w:tc>
      </w:tr>
      <w:tr>
        <w:trPr>
          <w:trHeight w:val="408" w:hRule="atLeast"/>
          <w:jc w:val="center"/>
        </w:trPr>
        <w:tc>
          <w:tcPr>
            <w:tcW w:w="3319" w:type="dxa"/>
            <w:vAlign w:val="center"/>
          </w:tcPr>
          <w:p>
            <w:pPr>
              <w:jc w:val="center"/>
              <w:rPr>
                <w:rFonts w:eastAsia="宋体" w:cs="Times New Roman"/>
                <w:szCs w:val="21"/>
              </w:rPr>
            </w:pPr>
            <w:r>
              <w:rPr>
                <w:rFonts w:eastAsia="宋体" w:cs="Times New Roman"/>
                <w:szCs w:val="21"/>
              </w:rPr>
              <w:t>摇瓶是否带透气功能</w:t>
            </w:r>
          </w:p>
        </w:tc>
        <w:tc>
          <w:tcPr>
            <w:tcW w:w="1464" w:type="dxa"/>
            <w:vAlign w:val="center"/>
          </w:tcPr>
          <w:p>
            <w:pPr>
              <w:jc w:val="center"/>
              <w:rPr>
                <w:rFonts w:eastAsia="宋体" w:cs="Times New Roman"/>
                <w:szCs w:val="21"/>
              </w:rPr>
            </w:pPr>
          </w:p>
        </w:tc>
        <w:tc>
          <w:tcPr>
            <w:tcW w:w="5179" w:type="dxa"/>
            <w:vAlign w:val="center"/>
          </w:tcPr>
          <w:p>
            <w:pPr>
              <w:jc w:val="center"/>
              <w:rPr>
                <w:rFonts w:eastAsia="宋体" w:cs="Times New Roman"/>
                <w:szCs w:val="21"/>
              </w:rPr>
            </w:pPr>
            <w:r>
              <w:rPr>
                <w:rFonts w:eastAsia="宋体" w:cs="Times New Roman"/>
                <w:szCs w:val="21"/>
              </w:rPr>
              <w:t>使用透气膜或其它含有透气结构的摇瓶</w:t>
            </w:r>
          </w:p>
        </w:tc>
      </w:tr>
      <w:tr>
        <w:trPr>
          <w:trHeight w:val="408" w:hRule="atLeast"/>
          <w:jc w:val="center"/>
        </w:trPr>
        <w:tc>
          <w:tcPr>
            <w:tcW w:w="3319" w:type="dxa"/>
            <w:vAlign w:val="center"/>
          </w:tcPr>
          <w:p>
            <w:pPr>
              <w:jc w:val="center"/>
              <w:rPr>
                <w:rFonts w:eastAsia="宋体" w:cs="Times New Roman"/>
                <w:szCs w:val="21"/>
              </w:rPr>
            </w:pPr>
            <w:r>
              <w:rPr>
                <w:rFonts w:eastAsia="宋体" w:cs="Times New Roman"/>
                <w:szCs w:val="21"/>
              </w:rPr>
              <w:t>细胞接种密度是否大于</w:t>
            </w:r>
          </w:p>
          <w:p>
            <w:pPr>
              <w:jc w:val="center"/>
              <w:rPr>
                <w:rFonts w:eastAsia="宋体" w:cs="Times New Roman"/>
                <w:szCs w:val="21"/>
              </w:rPr>
            </w:pPr>
            <w:r>
              <w:rPr>
                <w:rFonts w:hint="eastAsia" w:eastAsia="宋体" w:cs="Times New Roman"/>
                <w:szCs w:val="21"/>
              </w:rPr>
              <w:t>0.2</w:t>
            </w:r>
            <w:r>
              <w:rPr>
                <w:rFonts w:eastAsia="宋体" w:cs="Times New Roman"/>
                <w:szCs w:val="21"/>
              </w:rPr>
              <w:t>×10</w:t>
            </w:r>
            <w:r>
              <w:rPr>
                <w:rFonts w:eastAsia="宋体" w:cs="Times New Roman"/>
                <w:szCs w:val="21"/>
                <w:vertAlign w:val="superscript"/>
              </w:rPr>
              <w:t xml:space="preserve">6 </w:t>
            </w:r>
            <w:r>
              <w:rPr>
                <w:rFonts w:hint="eastAsia" w:eastAsia="宋体"/>
              </w:rPr>
              <w:t>cells</w:t>
            </w:r>
            <w:r>
              <w:rPr>
                <w:rFonts w:eastAsia="宋体"/>
              </w:rPr>
              <w:t>/</w:t>
            </w:r>
            <w:r>
              <w:rPr>
                <w:rFonts w:hint="eastAsia" w:eastAsia="宋体"/>
              </w:rPr>
              <w:t>ml</w:t>
            </w:r>
          </w:p>
        </w:tc>
        <w:tc>
          <w:tcPr>
            <w:tcW w:w="1464" w:type="dxa"/>
            <w:vAlign w:val="center"/>
          </w:tcPr>
          <w:p>
            <w:pPr>
              <w:jc w:val="center"/>
              <w:rPr>
                <w:rFonts w:eastAsia="宋体" w:cs="Times New Roman"/>
                <w:szCs w:val="21"/>
              </w:rPr>
            </w:pPr>
          </w:p>
        </w:tc>
        <w:tc>
          <w:tcPr>
            <w:tcW w:w="5179" w:type="dxa"/>
            <w:vAlign w:val="center"/>
          </w:tcPr>
          <w:p>
            <w:pPr>
              <w:rPr>
                <w:rFonts w:eastAsia="宋体" w:cs="Times New Roman"/>
                <w:szCs w:val="21"/>
              </w:rPr>
            </w:pPr>
            <w:r>
              <w:rPr>
                <w:rFonts w:eastAsia="宋体" w:cs="Times New Roman"/>
                <w:szCs w:val="21"/>
              </w:rPr>
              <w:t>离心并重悬细胞，使其密度大于</w:t>
            </w:r>
            <w:r>
              <w:rPr>
                <w:rFonts w:hint="eastAsia" w:eastAsia="宋体" w:cs="Times New Roman"/>
                <w:szCs w:val="21"/>
              </w:rPr>
              <w:t>0.2</w:t>
            </w:r>
            <w:r>
              <w:rPr>
                <w:rFonts w:eastAsia="宋体" w:cs="Times New Roman"/>
                <w:szCs w:val="21"/>
              </w:rPr>
              <w:t>×10</w:t>
            </w:r>
            <w:r>
              <w:rPr>
                <w:rFonts w:eastAsia="宋体" w:cs="Times New Roman"/>
                <w:szCs w:val="21"/>
                <w:vertAlign w:val="superscript"/>
              </w:rPr>
              <w:t xml:space="preserve">6 </w:t>
            </w:r>
            <w:r>
              <w:rPr>
                <w:rFonts w:hint="eastAsia" w:eastAsia="宋体"/>
              </w:rPr>
              <w:t>cells</w:t>
            </w:r>
            <w:r>
              <w:rPr>
                <w:rFonts w:eastAsia="宋体"/>
              </w:rPr>
              <w:t>/</w:t>
            </w:r>
            <w:r>
              <w:rPr>
                <w:rFonts w:hint="eastAsia" w:eastAsia="宋体"/>
              </w:rPr>
              <w:t>ml</w:t>
            </w:r>
          </w:p>
        </w:tc>
      </w:tr>
    </w:tbl>
    <w:p>
      <w:pPr>
        <w:rPr>
          <w:rFonts w:eastAsia="宋体" w:cs="Times New Roman"/>
          <w:szCs w:val="24"/>
        </w:rPr>
      </w:pPr>
    </w:p>
    <w:p>
      <w:pPr>
        <w:pStyle w:val="11"/>
        <w:numPr>
          <w:ilvl w:val="0"/>
          <w:numId w:val="8"/>
        </w:numPr>
        <w:ind w:firstLineChars="0"/>
        <w:rPr>
          <w:rFonts w:eastAsia="宋体"/>
        </w:rPr>
      </w:pPr>
      <w:r>
        <w:rPr>
          <w:rFonts w:eastAsia="宋体"/>
        </w:rPr>
        <w:t>当细胞存活率为80%-95%时</w:t>
      </w:r>
    </w:p>
    <w:p>
      <w:pPr>
        <w:ind w:firstLine="480" w:firstLineChars="200"/>
        <w:rPr>
          <w:rFonts w:eastAsia="宋体"/>
        </w:rPr>
      </w:pPr>
      <w:r>
        <w:rPr>
          <w:rFonts w:eastAsia="宋体"/>
        </w:rPr>
        <w:t>将细胞离心去上清，用新鲜培养液重悬，使其密度为</w:t>
      </w:r>
      <w:r>
        <w:rPr>
          <w:rFonts w:hint="eastAsia" w:eastAsia="宋体"/>
        </w:rPr>
        <w:t>0.2</w:t>
      </w:r>
      <w:r>
        <w:rPr>
          <w:rFonts w:eastAsia="宋体"/>
        </w:rPr>
        <w:t>×10</w:t>
      </w:r>
      <w:r>
        <w:rPr>
          <w:rFonts w:eastAsia="宋体"/>
          <w:vertAlign w:val="superscript"/>
        </w:rPr>
        <w:t xml:space="preserve">6 </w:t>
      </w:r>
      <w:r>
        <w:rPr>
          <w:rFonts w:hint="eastAsia" w:eastAsia="宋体"/>
        </w:rPr>
        <w:t>cells</w:t>
      </w:r>
      <w:r>
        <w:rPr>
          <w:rFonts w:eastAsia="宋体"/>
        </w:rPr>
        <w:t>/</w:t>
      </w:r>
      <w:r>
        <w:rPr>
          <w:rFonts w:hint="eastAsia" w:eastAsia="宋体"/>
        </w:rPr>
        <w:t>ml</w:t>
      </w:r>
      <w:r>
        <w:rPr>
          <w:rFonts w:eastAsia="宋体"/>
        </w:rPr>
        <w:t>，接种于摇瓶中</w:t>
      </w:r>
      <w:r>
        <w:rPr>
          <w:rFonts w:hint="eastAsia" w:eastAsia="宋体"/>
        </w:rPr>
        <w:t>震</w:t>
      </w:r>
      <w:r>
        <w:rPr>
          <w:rFonts w:eastAsia="宋体"/>
        </w:rPr>
        <w:t>荡培养。每天观察细胞是否增殖，若有增殖，继续培养，直至细胞密度为</w:t>
      </w:r>
      <w:r>
        <w:rPr>
          <w:rFonts w:hint="eastAsia" w:eastAsia="宋体"/>
        </w:rPr>
        <w:t>2</w:t>
      </w:r>
      <w:r>
        <w:rPr>
          <w:rFonts w:eastAsia="宋体"/>
        </w:rPr>
        <w:t>×10</w:t>
      </w:r>
      <w:r>
        <w:rPr>
          <w:rFonts w:eastAsia="宋体"/>
          <w:vertAlign w:val="superscript"/>
        </w:rPr>
        <w:t>6</w:t>
      </w:r>
      <w:r>
        <w:rPr>
          <w:rFonts w:hint="eastAsia" w:eastAsia="宋体"/>
        </w:rPr>
        <w:t xml:space="preserve"> cells</w:t>
      </w:r>
      <w:r>
        <w:rPr>
          <w:rFonts w:eastAsia="宋体"/>
        </w:rPr>
        <w:t>/</w:t>
      </w:r>
      <w:r>
        <w:rPr>
          <w:rFonts w:hint="eastAsia" w:eastAsia="宋体"/>
        </w:rPr>
        <w:t>ml</w:t>
      </w:r>
      <w:r>
        <w:rPr>
          <w:rFonts w:eastAsia="宋体"/>
        </w:rPr>
        <w:t>时方可传代。传代密度继续使用</w:t>
      </w:r>
      <w:r>
        <w:rPr>
          <w:rFonts w:hint="eastAsia" w:eastAsia="宋体"/>
        </w:rPr>
        <w:t>0.2</w:t>
      </w:r>
      <w:r>
        <w:rPr>
          <w:rFonts w:eastAsia="宋体"/>
        </w:rPr>
        <w:t>×10</w:t>
      </w:r>
      <w:r>
        <w:rPr>
          <w:rFonts w:eastAsia="宋体"/>
          <w:vertAlign w:val="superscript"/>
        </w:rPr>
        <w:t xml:space="preserve">6 </w:t>
      </w:r>
      <w:r>
        <w:rPr>
          <w:rFonts w:hint="eastAsia" w:eastAsia="宋体"/>
        </w:rPr>
        <w:t>cells</w:t>
      </w:r>
      <w:r>
        <w:rPr>
          <w:rFonts w:eastAsia="宋体"/>
        </w:rPr>
        <w:t>/</w:t>
      </w:r>
      <w:r>
        <w:rPr>
          <w:rFonts w:hint="eastAsia" w:eastAsia="宋体"/>
        </w:rPr>
        <w:t>ml</w:t>
      </w:r>
      <w:r>
        <w:rPr>
          <w:rFonts w:eastAsia="宋体"/>
        </w:rPr>
        <w:t>，直至细胞存活率恢复至9</w:t>
      </w:r>
      <w:r>
        <w:rPr>
          <w:rFonts w:hint="eastAsia" w:eastAsia="宋体"/>
        </w:rPr>
        <w:t>5</w:t>
      </w:r>
      <w:r>
        <w:rPr>
          <w:rFonts w:eastAsia="宋体"/>
        </w:rPr>
        <w:t>%以上时</w:t>
      </w:r>
      <w:r>
        <w:rPr>
          <w:rFonts w:hint="eastAsia" w:eastAsia="宋体"/>
        </w:rPr>
        <w:t>。</w:t>
      </w:r>
    </w:p>
    <w:p>
      <w:pPr>
        <w:pStyle w:val="11"/>
        <w:numPr>
          <w:ilvl w:val="0"/>
          <w:numId w:val="8"/>
        </w:numPr>
        <w:ind w:firstLineChars="0"/>
        <w:rPr>
          <w:rFonts w:eastAsia="宋体"/>
        </w:rPr>
      </w:pPr>
      <w:r>
        <w:rPr>
          <w:rFonts w:eastAsia="宋体"/>
        </w:rPr>
        <w:t>当细胞存活率为60%-80%时</w:t>
      </w:r>
    </w:p>
    <w:p>
      <w:pPr>
        <w:ind w:firstLine="480" w:firstLineChars="200"/>
        <w:rPr>
          <w:rFonts w:eastAsia="宋体"/>
        </w:rPr>
      </w:pPr>
      <w:r>
        <w:rPr>
          <w:rFonts w:eastAsia="宋体"/>
        </w:rPr>
        <w:t>将细胞离心去上清，用新鲜KD-CHO重悬，使其密度为0.</w:t>
      </w:r>
      <w:r>
        <w:rPr>
          <w:rFonts w:hint="eastAsia" w:eastAsia="宋体"/>
        </w:rPr>
        <w:t>2</w:t>
      </w:r>
      <w:r>
        <w:rPr>
          <w:rFonts w:eastAsia="宋体"/>
        </w:rPr>
        <w:t>×10</w:t>
      </w:r>
      <w:r>
        <w:rPr>
          <w:rFonts w:eastAsia="宋体"/>
          <w:vertAlign w:val="superscript"/>
        </w:rPr>
        <w:t xml:space="preserve">6 </w:t>
      </w:r>
      <w:r>
        <w:rPr>
          <w:rFonts w:hint="eastAsia" w:eastAsia="宋体"/>
        </w:rPr>
        <w:t>cells</w:t>
      </w:r>
      <w:r>
        <w:rPr>
          <w:rFonts w:eastAsia="宋体"/>
        </w:rPr>
        <w:t>/</w:t>
      </w:r>
      <w:r>
        <w:rPr>
          <w:rFonts w:hint="eastAsia" w:eastAsia="宋体"/>
        </w:rPr>
        <w:t>ml</w:t>
      </w:r>
      <w:r>
        <w:rPr>
          <w:rFonts w:eastAsia="宋体"/>
        </w:rPr>
        <w:t>，接种于培养瓶中静置培养。每两天观察一次细胞是否生长，若细胞有生长，继续培养至细胞密度为</w:t>
      </w:r>
      <w:r>
        <w:rPr>
          <w:rFonts w:hint="eastAsia" w:eastAsia="宋体"/>
        </w:rPr>
        <w:t>1.2</w:t>
      </w:r>
      <w:r>
        <w:rPr>
          <w:rFonts w:eastAsia="宋体"/>
        </w:rPr>
        <w:t>×10</w:t>
      </w:r>
      <w:r>
        <w:rPr>
          <w:rFonts w:eastAsia="宋体"/>
          <w:vertAlign w:val="superscript"/>
        </w:rPr>
        <w:t xml:space="preserve">6 </w:t>
      </w:r>
      <w:r>
        <w:rPr>
          <w:rFonts w:hint="eastAsia" w:eastAsia="宋体"/>
        </w:rPr>
        <w:t>cells</w:t>
      </w:r>
      <w:r>
        <w:rPr>
          <w:rFonts w:eastAsia="宋体"/>
        </w:rPr>
        <w:t>/</w:t>
      </w:r>
      <w:r>
        <w:rPr>
          <w:rFonts w:hint="eastAsia" w:eastAsia="宋体"/>
        </w:rPr>
        <w:t>ml</w:t>
      </w:r>
      <w:r>
        <w:rPr>
          <w:rFonts w:eastAsia="宋体"/>
        </w:rPr>
        <w:t>，传代至0.</w:t>
      </w:r>
      <w:r>
        <w:rPr>
          <w:rFonts w:hint="eastAsia" w:eastAsia="宋体"/>
        </w:rPr>
        <w:t>2</w:t>
      </w:r>
      <w:r>
        <w:rPr>
          <w:rFonts w:eastAsia="宋体"/>
        </w:rPr>
        <w:t>×10</w:t>
      </w:r>
      <w:r>
        <w:rPr>
          <w:rFonts w:eastAsia="宋体"/>
          <w:vertAlign w:val="superscript"/>
        </w:rPr>
        <w:t xml:space="preserve">6 </w:t>
      </w:r>
      <w:r>
        <w:rPr>
          <w:rFonts w:hint="eastAsia" w:eastAsia="宋体"/>
        </w:rPr>
        <w:t>cells</w:t>
      </w:r>
      <w:r>
        <w:rPr>
          <w:rFonts w:eastAsia="宋体"/>
        </w:rPr>
        <w:t>/</w:t>
      </w:r>
      <w:r>
        <w:rPr>
          <w:rFonts w:hint="eastAsia" w:eastAsia="宋体"/>
        </w:rPr>
        <w:t>ml</w:t>
      </w:r>
      <w:r>
        <w:rPr>
          <w:rFonts w:eastAsia="宋体"/>
        </w:rPr>
        <w:t>于培养瓶中静置培养。重复上述过程，直至细胞活率大于90%时，可转移至摇瓶中震荡培养，接种密度应不少于</w:t>
      </w:r>
      <w:r>
        <w:rPr>
          <w:rFonts w:hint="eastAsia" w:eastAsia="宋体"/>
        </w:rPr>
        <w:t>0.2</w:t>
      </w:r>
      <w:r>
        <w:rPr>
          <w:rFonts w:eastAsia="宋体"/>
        </w:rPr>
        <w:t>×10</w:t>
      </w:r>
      <w:r>
        <w:rPr>
          <w:rFonts w:eastAsia="宋体"/>
          <w:vertAlign w:val="superscript"/>
        </w:rPr>
        <w:t xml:space="preserve">6 </w:t>
      </w:r>
      <w:r>
        <w:rPr>
          <w:rFonts w:hint="eastAsia" w:eastAsia="宋体"/>
        </w:rPr>
        <w:t>cells</w:t>
      </w:r>
      <w:r>
        <w:rPr>
          <w:rFonts w:eastAsia="宋体"/>
        </w:rPr>
        <w:t>/</w:t>
      </w:r>
      <w:r>
        <w:rPr>
          <w:rFonts w:hint="eastAsia" w:eastAsia="宋体"/>
        </w:rPr>
        <w:t>ml。</w:t>
      </w:r>
    </w:p>
    <w:p>
      <w:pPr>
        <w:pStyle w:val="11"/>
        <w:numPr>
          <w:ilvl w:val="0"/>
          <w:numId w:val="8"/>
        </w:numPr>
        <w:ind w:firstLineChars="0"/>
        <w:rPr>
          <w:rFonts w:eastAsia="宋体"/>
        </w:rPr>
      </w:pPr>
      <w:r>
        <w:rPr>
          <w:rFonts w:eastAsia="宋体"/>
        </w:rPr>
        <w:t>细胞存活率小于60%时</w:t>
      </w:r>
    </w:p>
    <w:p>
      <w:pPr>
        <w:ind w:firstLine="480" w:firstLineChars="200"/>
        <w:rPr>
          <w:rFonts w:eastAsia="宋体"/>
        </w:rPr>
      </w:pPr>
      <w:r>
        <w:rPr>
          <w:rFonts w:eastAsia="宋体"/>
        </w:rPr>
        <w:t>丢弃细胞，重新获取细胞。</w:t>
      </w:r>
    </w:p>
    <w:p>
      <w:pPr>
        <w:pStyle w:val="3"/>
        <w:rPr>
          <w:rFonts w:ascii="Times New Roman" w:hAnsi="Times New Roman" w:eastAsia="宋体"/>
        </w:rPr>
      </w:pPr>
      <w:r>
        <w:rPr>
          <w:rFonts w:hint="eastAsia" w:ascii="Times New Roman" w:hAnsi="Times New Roman" w:eastAsia="宋体"/>
        </w:rPr>
        <w:t>6</w:t>
      </w:r>
      <w:r>
        <w:rPr>
          <w:rFonts w:ascii="Times New Roman" w:hAnsi="Times New Roman" w:eastAsia="宋体"/>
        </w:rPr>
        <w:t>.2细胞结团</w:t>
      </w:r>
    </w:p>
    <w:p>
      <w:pPr>
        <w:rPr>
          <w:rFonts w:eastAsia="宋体" w:cs="Times New Roman"/>
          <w:b/>
          <w:szCs w:val="24"/>
        </w:rPr>
      </w:pPr>
      <w:r>
        <w:rPr>
          <w:rFonts w:hint="eastAsia" w:eastAsia="宋体" w:cs="Times New Roman"/>
          <w:szCs w:val="24"/>
        </w:rPr>
        <w:t xml:space="preserve">    细胞悬浮震荡培养过程中若出现结团现象，可在培养液中添加一定量的抗结团剂例如硫酸葡聚糖（浓度为20mg/L左右）。细胞结团或粘附于摇瓶瓶壁上通常会导致细胞存活率和培养密度降低，加入抗结团剂则基本上可以解决这一问题。</w:t>
      </w:r>
    </w:p>
    <w:p>
      <w:pPr>
        <w:rPr>
          <w:rFonts w:eastAsia="宋体" w:cs="Times New Roman"/>
          <w:b/>
          <w:szCs w:val="24"/>
        </w:rPr>
      </w:pPr>
    </w:p>
    <w:p>
      <w:pPr>
        <w:rPr>
          <w:rFonts w:eastAsia="宋体" w:cs="Times New Roman"/>
          <w:szCs w:val="24"/>
        </w:rPr>
      </w:pPr>
    </w:p>
    <w:p>
      <w:pPr>
        <w:rPr>
          <w:rFonts w:eastAsia="宋体" w:cs="Times New Roman"/>
          <w:b/>
          <w:szCs w:val="24"/>
        </w:rPr>
      </w:pPr>
    </w:p>
    <w:p>
      <w:pPr>
        <w:rPr>
          <w:rFonts w:eastAsia="宋体" w:cs="Times New Roman"/>
          <w:b/>
          <w:szCs w:val="24"/>
        </w:rPr>
      </w:pPr>
    </w:p>
    <w:p>
      <w:pPr>
        <w:rPr>
          <w:rFonts w:eastAsia="宋体" w:cs="Times New Roman"/>
          <w:b/>
          <w:szCs w:val="24"/>
        </w:rPr>
      </w:pPr>
    </w:p>
    <w:p>
      <w:pPr>
        <w:rPr>
          <w:rFonts w:eastAsia="宋体" w:cs="Times New Roman"/>
          <w:b/>
          <w:szCs w:val="24"/>
        </w:rPr>
      </w:pPr>
    </w:p>
    <w:p>
      <w:pPr>
        <w:rPr>
          <w:rFonts w:eastAsia="宋体"/>
          <w:b/>
          <w:szCs w:val="24"/>
        </w:rPr>
      </w:pPr>
    </w:p>
    <w:sectPr>
      <w:headerReference r:id="rId5" w:type="default"/>
      <w:footerReference r:id="rId6" w:type="default"/>
      <w:pgSz w:w="11906" w:h="16838"/>
      <w:pgMar w:top="1440" w:right="1077" w:bottom="1440" w:left="1077" w:header="709" w:footer="709"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802508"/>
    </w:sdtPr>
    <w:sdtContent>
      <w:sdt>
        <w:sdtPr>
          <w:id w:val="860082579"/>
        </w:sdtPr>
        <w:sdtContent>
          <w:p>
            <w:pPr>
              <w:pStyle w:val="5"/>
              <w:jc w:val="right"/>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5"/>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 xml:space="preserve"> Tel：0756-363118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61E72"/>
    <w:multiLevelType w:val="singleLevel"/>
    <w:tmpl w:val="BBB61E72"/>
    <w:lvl w:ilvl="0" w:tentative="0">
      <w:start w:val="1"/>
      <w:numFmt w:val="decimal"/>
      <w:lvlText w:val="(%1)"/>
      <w:lvlJc w:val="left"/>
      <w:pPr>
        <w:ind w:left="425" w:hanging="425"/>
      </w:pPr>
      <w:rPr>
        <w:rFonts w:hint="default"/>
      </w:rPr>
    </w:lvl>
  </w:abstractNum>
  <w:abstractNum w:abstractNumId="1">
    <w:nsid w:val="06F7683D"/>
    <w:multiLevelType w:val="multilevel"/>
    <w:tmpl w:val="06F768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B407EC"/>
    <w:multiLevelType w:val="multilevel"/>
    <w:tmpl w:val="13B407E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F52EDC"/>
    <w:multiLevelType w:val="multilevel"/>
    <w:tmpl w:val="23F52E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F50CDF"/>
    <w:multiLevelType w:val="multilevel"/>
    <w:tmpl w:val="3EF50C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4C682D"/>
    <w:multiLevelType w:val="multilevel"/>
    <w:tmpl w:val="4B4C68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3A117D"/>
    <w:multiLevelType w:val="multilevel"/>
    <w:tmpl w:val="503A11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8D264A"/>
    <w:multiLevelType w:val="multilevel"/>
    <w:tmpl w:val="698D26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3"/>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mQzNmZmMmJjODY2M2YxOWRjMjU0YjAwMmY0MzgifQ=="/>
  </w:docVars>
  <w:rsids>
    <w:rsidRoot w:val="00E7539C"/>
    <w:rsid w:val="000225B8"/>
    <w:rsid w:val="00047C9E"/>
    <w:rsid w:val="000617C2"/>
    <w:rsid w:val="00085D44"/>
    <w:rsid w:val="00087D27"/>
    <w:rsid w:val="000A3438"/>
    <w:rsid w:val="000B1CB9"/>
    <w:rsid w:val="000D2E0E"/>
    <w:rsid w:val="000E1DB7"/>
    <w:rsid w:val="0011186B"/>
    <w:rsid w:val="001171AF"/>
    <w:rsid w:val="00123A88"/>
    <w:rsid w:val="00196D1C"/>
    <w:rsid w:val="001B47F5"/>
    <w:rsid w:val="001C30D1"/>
    <w:rsid w:val="001E1E4C"/>
    <w:rsid w:val="001E388A"/>
    <w:rsid w:val="001F58DF"/>
    <w:rsid w:val="0023763F"/>
    <w:rsid w:val="00251B9B"/>
    <w:rsid w:val="00256ECD"/>
    <w:rsid w:val="00263BCF"/>
    <w:rsid w:val="00282679"/>
    <w:rsid w:val="00282B68"/>
    <w:rsid w:val="00284DD6"/>
    <w:rsid w:val="002A43C7"/>
    <w:rsid w:val="002E7A37"/>
    <w:rsid w:val="00307060"/>
    <w:rsid w:val="00332C56"/>
    <w:rsid w:val="00344EB9"/>
    <w:rsid w:val="00345565"/>
    <w:rsid w:val="00351A85"/>
    <w:rsid w:val="00354299"/>
    <w:rsid w:val="003A5DCF"/>
    <w:rsid w:val="003C4EDD"/>
    <w:rsid w:val="003D3755"/>
    <w:rsid w:val="003F553C"/>
    <w:rsid w:val="003F5BD1"/>
    <w:rsid w:val="0042038F"/>
    <w:rsid w:val="0042359D"/>
    <w:rsid w:val="00437009"/>
    <w:rsid w:val="00473373"/>
    <w:rsid w:val="004741DD"/>
    <w:rsid w:val="00476066"/>
    <w:rsid w:val="004B038E"/>
    <w:rsid w:val="004C1C2B"/>
    <w:rsid w:val="00511D9B"/>
    <w:rsid w:val="005174F8"/>
    <w:rsid w:val="00561165"/>
    <w:rsid w:val="005B287C"/>
    <w:rsid w:val="005F71B2"/>
    <w:rsid w:val="00603C46"/>
    <w:rsid w:val="0060609D"/>
    <w:rsid w:val="00613B71"/>
    <w:rsid w:val="00615A4D"/>
    <w:rsid w:val="006170DA"/>
    <w:rsid w:val="00643907"/>
    <w:rsid w:val="006E7C84"/>
    <w:rsid w:val="006F4BE1"/>
    <w:rsid w:val="00704AC0"/>
    <w:rsid w:val="007344DF"/>
    <w:rsid w:val="00741971"/>
    <w:rsid w:val="0076156E"/>
    <w:rsid w:val="00763F97"/>
    <w:rsid w:val="00783102"/>
    <w:rsid w:val="007A5E78"/>
    <w:rsid w:val="007B5DAD"/>
    <w:rsid w:val="007C393F"/>
    <w:rsid w:val="007F37D5"/>
    <w:rsid w:val="007F7675"/>
    <w:rsid w:val="00806DA2"/>
    <w:rsid w:val="00812345"/>
    <w:rsid w:val="008557E7"/>
    <w:rsid w:val="008C4BF7"/>
    <w:rsid w:val="008F1A25"/>
    <w:rsid w:val="00906B82"/>
    <w:rsid w:val="009131B0"/>
    <w:rsid w:val="00923638"/>
    <w:rsid w:val="00940E13"/>
    <w:rsid w:val="009569B1"/>
    <w:rsid w:val="00965CA3"/>
    <w:rsid w:val="009704A6"/>
    <w:rsid w:val="009B5508"/>
    <w:rsid w:val="009B606B"/>
    <w:rsid w:val="009F407D"/>
    <w:rsid w:val="00A23317"/>
    <w:rsid w:val="00A278A7"/>
    <w:rsid w:val="00A346EB"/>
    <w:rsid w:val="00A57E29"/>
    <w:rsid w:val="00A74E88"/>
    <w:rsid w:val="00A87CDD"/>
    <w:rsid w:val="00AA2FAE"/>
    <w:rsid w:val="00AA4B91"/>
    <w:rsid w:val="00AB2E29"/>
    <w:rsid w:val="00AC25ED"/>
    <w:rsid w:val="00AC7973"/>
    <w:rsid w:val="00B04CD4"/>
    <w:rsid w:val="00B367B5"/>
    <w:rsid w:val="00B45E06"/>
    <w:rsid w:val="00B47AB4"/>
    <w:rsid w:val="00B6031E"/>
    <w:rsid w:val="00B747D6"/>
    <w:rsid w:val="00B77C5A"/>
    <w:rsid w:val="00B84C54"/>
    <w:rsid w:val="00BA0473"/>
    <w:rsid w:val="00BA5C04"/>
    <w:rsid w:val="00BC2E95"/>
    <w:rsid w:val="00BD0B28"/>
    <w:rsid w:val="00BF1AFD"/>
    <w:rsid w:val="00BF4BF4"/>
    <w:rsid w:val="00BF5606"/>
    <w:rsid w:val="00BF69AA"/>
    <w:rsid w:val="00C30D97"/>
    <w:rsid w:val="00C36393"/>
    <w:rsid w:val="00C44866"/>
    <w:rsid w:val="00C47FED"/>
    <w:rsid w:val="00C9118D"/>
    <w:rsid w:val="00CA08B3"/>
    <w:rsid w:val="00CB0615"/>
    <w:rsid w:val="00CD723A"/>
    <w:rsid w:val="00CE5ECF"/>
    <w:rsid w:val="00CE72C6"/>
    <w:rsid w:val="00D02C8A"/>
    <w:rsid w:val="00D228C3"/>
    <w:rsid w:val="00D87682"/>
    <w:rsid w:val="00D87D79"/>
    <w:rsid w:val="00D94AE9"/>
    <w:rsid w:val="00DA0B9A"/>
    <w:rsid w:val="00DA7806"/>
    <w:rsid w:val="00DB7964"/>
    <w:rsid w:val="00DF3FBC"/>
    <w:rsid w:val="00E7539C"/>
    <w:rsid w:val="00ED640D"/>
    <w:rsid w:val="00F01C06"/>
    <w:rsid w:val="00F02E0A"/>
    <w:rsid w:val="00F05857"/>
    <w:rsid w:val="00F135EE"/>
    <w:rsid w:val="00F47B0D"/>
    <w:rsid w:val="00F87E71"/>
    <w:rsid w:val="00FA1603"/>
    <w:rsid w:val="00FA6EDB"/>
    <w:rsid w:val="00FC3907"/>
    <w:rsid w:val="00FF1D16"/>
    <w:rsid w:val="0905264C"/>
    <w:rsid w:val="1EB751B8"/>
    <w:rsid w:val="285A6448"/>
    <w:rsid w:val="28B20E5F"/>
    <w:rsid w:val="50047BC4"/>
    <w:rsid w:val="59CA0A01"/>
    <w:rsid w:val="5D9C4EE4"/>
    <w:rsid w:val="6C944745"/>
    <w:rsid w:val="74C76E70"/>
    <w:rsid w:val="DEBA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7"/>
    <w:autoRedefine/>
    <w:qFormat/>
    <w:uiPriority w:val="9"/>
    <w:pPr>
      <w:keepNext/>
      <w:keepLines/>
      <w:outlineLvl w:val="0"/>
    </w:pPr>
    <w:rPr>
      <w:b/>
      <w:bCs/>
      <w:kern w:val="44"/>
      <w:sz w:val="28"/>
      <w:szCs w:val="44"/>
    </w:rPr>
  </w:style>
  <w:style w:type="paragraph" w:styleId="3">
    <w:name w:val="heading 2"/>
    <w:basedOn w:val="1"/>
    <w:next w:val="1"/>
    <w:link w:val="18"/>
    <w:autoRedefine/>
    <w:unhideWhenUsed/>
    <w:qFormat/>
    <w:uiPriority w:val="9"/>
    <w:pPr>
      <w:keepNext/>
      <w:keepLines/>
      <w:outlineLvl w:val="1"/>
    </w:pPr>
    <w:rPr>
      <w:rFonts w:asciiTheme="majorHAnsi" w:hAnsiTheme="majorHAnsi" w:eastAsiaTheme="majorEastAsia" w:cstheme="majorBidi"/>
      <w:b/>
      <w:bCs/>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autoRedefine/>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6"/>
    <w:autoRedefine/>
    <w:qFormat/>
    <w:uiPriority w:val="10"/>
    <w:pPr>
      <w:jc w:val="center"/>
      <w:outlineLvl w:val="0"/>
    </w:pPr>
    <w:rPr>
      <w:rFonts w:asciiTheme="majorHAnsi" w:hAnsiTheme="majorHAnsi" w:eastAsiaTheme="majorEastAsia" w:cstheme="majorBidi"/>
      <w:b/>
      <w:bCs/>
      <w:sz w:val="32"/>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批注框文本 Char"/>
    <w:basedOn w:val="10"/>
    <w:link w:val="4"/>
    <w:autoRedefine/>
    <w:semiHidden/>
    <w:qFormat/>
    <w:uiPriority w:val="99"/>
    <w:rPr>
      <w:sz w:val="18"/>
      <w:szCs w:val="18"/>
    </w:rPr>
  </w:style>
  <w:style w:type="paragraph" w:styleId="13">
    <w:name w:val="No Spacing"/>
    <w:autoRedefine/>
    <w:qFormat/>
    <w:uiPriority w:val="1"/>
    <w:pPr>
      <w:adjustRightInd w:val="0"/>
      <w:snapToGrid w:val="0"/>
    </w:pPr>
    <w:rPr>
      <w:rFonts w:ascii="Tahoma" w:hAnsi="Tahoma" w:eastAsiaTheme="minorEastAsia" w:cstheme="minorBidi"/>
      <w:sz w:val="22"/>
      <w:szCs w:val="22"/>
      <w:lang w:val="en-US" w:eastAsia="zh-CN" w:bidi="ar-SA"/>
    </w:rPr>
  </w:style>
  <w:style w:type="character" w:customStyle="1" w:styleId="14">
    <w:name w:val="页眉 Char"/>
    <w:basedOn w:val="10"/>
    <w:link w:val="6"/>
    <w:autoRedefine/>
    <w:qFormat/>
    <w:uiPriority w:val="99"/>
    <w:rPr>
      <w:sz w:val="18"/>
      <w:szCs w:val="18"/>
    </w:rPr>
  </w:style>
  <w:style w:type="character" w:customStyle="1" w:styleId="15">
    <w:name w:val="页脚 Char"/>
    <w:basedOn w:val="10"/>
    <w:link w:val="5"/>
    <w:autoRedefine/>
    <w:qFormat/>
    <w:uiPriority w:val="99"/>
    <w:rPr>
      <w:sz w:val="18"/>
      <w:szCs w:val="18"/>
    </w:rPr>
  </w:style>
  <w:style w:type="character" w:customStyle="1" w:styleId="16">
    <w:name w:val="标题 Char"/>
    <w:basedOn w:val="10"/>
    <w:link w:val="7"/>
    <w:autoRedefine/>
    <w:qFormat/>
    <w:uiPriority w:val="10"/>
    <w:rPr>
      <w:rFonts w:asciiTheme="majorHAnsi" w:hAnsiTheme="majorHAnsi" w:eastAsiaTheme="majorEastAsia" w:cstheme="majorBidi"/>
      <w:b/>
      <w:bCs/>
      <w:kern w:val="2"/>
      <w:sz w:val="32"/>
      <w:szCs w:val="32"/>
    </w:rPr>
  </w:style>
  <w:style w:type="character" w:customStyle="1" w:styleId="17">
    <w:name w:val="标题 1 Char"/>
    <w:basedOn w:val="10"/>
    <w:link w:val="2"/>
    <w:autoRedefine/>
    <w:qFormat/>
    <w:uiPriority w:val="9"/>
    <w:rPr>
      <w:rFonts w:asciiTheme="minorHAnsi" w:hAnsiTheme="minorHAnsi" w:eastAsiaTheme="minorEastAsia" w:cstheme="minorBidi"/>
      <w:b/>
      <w:bCs/>
      <w:kern w:val="44"/>
      <w:sz w:val="28"/>
      <w:szCs w:val="44"/>
    </w:rPr>
  </w:style>
  <w:style w:type="character" w:customStyle="1" w:styleId="18">
    <w:name w:val="标题 2 Char"/>
    <w:basedOn w:val="10"/>
    <w:link w:val="3"/>
    <w:autoRedefine/>
    <w:qFormat/>
    <w:uiPriority w:val="9"/>
    <w:rPr>
      <w:rFonts w:asciiTheme="majorHAnsi" w:hAnsiTheme="majorHAnsi" w:eastAsiaTheme="majorEastAsia" w:cstheme="majorBidi"/>
      <w:b/>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320</Words>
  <Characters>1827</Characters>
  <Lines>15</Lines>
  <Paragraphs>4</Paragraphs>
  <TotalTime>6</TotalTime>
  <ScaleCrop>false</ScaleCrop>
  <LinksUpToDate>false</LinksUpToDate>
  <CharactersWithSpaces>2143</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2022-09-26T09:36:00Z</dcterms:created>
  <dc:creator>del</dc:creator>
  <cp:lastModifiedBy>梁凯封</cp:lastModifiedBy>
  <cp:lastPrinted>2024-03-12T11:23:00Z</cp:lastPrinted>
  <dcterms:modified xsi:type="dcterms:W3CDTF">2024-04-18T13:08:40Z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DF9994F160C941B599BACF64E3BCEF5D_13</vt:lpwstr>
  </property>
</Properties>
</file>